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7C2DB" w14:textId="4A60E7AE" w:rsidR="00432071" w:rsidRDefault="009A6A3B" w:rsidP="00432071">
      <w:pPr>
        <w:jc w:val="center"/>
      </w:pPr>
      <w:r>
        <w:rPr>
          <w:noProof/>
        </w:rPr>
        <mc:AlternateContent>
          <mc:Choice Requires="wps">
            <w:drawing>
              <wp:anchor distT="0" distB="0" distL="114300" distR="114300" simplePos="0" relativeHeight="251663360" behindDoc="0" locked="0" layoutInCell="1" allowOverlap="1" wp14:anchorId="57759148" wp14:editId="5217A6F6">
                <wp:simplePos x="0" y="0"/>
                <wp:positionH relativeFrom="column">
                  <wp:posOffset>1080770</wp:posOffset>
                </wp:positionH>
                <wp:positionV relativeFrom="paragraph">
                  <wp:posOffset>409575</wp:posOffset>
                </wp:positionV>
                <wp:extent cx="3017520" cy="457200"/>
                <wp:effectExtent l="0" t="0" r="0" b="0"/>
                <wp:wrapSquare wrapText="bothSides"/>
                <wp:docPr id="1120061820" name="Text Box 1"/>
                <wp:cNvGraphicFramePr/>
                <a:graphic xmlns:a="http://schemas.openxmlformats.org/drawingml/2006/main">
                  <a:graphicData uri="http://schemas.microsoft.com/office/word/2010/wordprocessingShape">
                    <wps:wsp>
                      <wps:cNvSpPr txBox="1"/>
                      <wps:spPr>
                        <a:xfrm>
                          <a:off x="0" y="0"/>
                          <a:ext cx="3017520" cy="457200"/>
                        </a:xfrm>
                        <a:prstGeom prst="rect">
                          <a:avLst/>
                        </a:prstGeom>
                        <a:noFill/>
                        <a:ln>
                          <a:noFill/>
                        </a:ln>
                      </wps:spPr>
                      <wps:txbx>
                        <w:txbxContent>
                          <w:p w14:paraId="222B4017" w14:textId="77777777" w:rsidR="009A6A3B" w:rsidRPr="009A6A3B" w:rsidRDefault="009A6A3B" w:rsidP="009A6A3B">
                            <w:pPr>
                              <w:jc w:val="center"/>
                              <w:rPr>
                                <w:rFonts w:ascii="Times New Roman" w:hAnsi="Times New Roman" w:cs="Times New Roman"/>
                                <w:b/>
                                <w:color w:val="215E99" w:themeColor="text2" w:themeTint="BF"/>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9A6A3B">
                              <w:rPr>
                                <w:rFonts w:ascii="Times New Roman" w:hAnsi="Times New Roman" w:cs="Times New Roman"/>
                                <w:b/>
                                <w:color w:val="215E99" w:themeColor="text2" w:themeTint="BF"/>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Questions And Answers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57759148" id="_x0000_t202" coordsize="21600,21600" o:spt="202" path="m,l,21600r21600,l21600,xe">
                <v:stroke joinstyle="miter"/>
                <v:path gradientshapeok="t" o:connecttype="rect"/>
              </v:shapetype>
              <v:shape id="Text Box 1" o:spid="_x0000_s1026" type="#_x0000_t202" style="position:absolute;left:0;text-align:left;margin-left:85.1pt;margin-top:32.25pt;width:237.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" filled="f" stroked="f">
                <v:fill o:detectmouseclick="t"/>
                <v:textbox>
                  <w:txbxContent>
                    <w:p w14:paraId="222B4017" w14:textId="77777777" w:rsidR="009A6A3B" w:rsidRPr="009A6A3B" w:rsidRDefault="009A6A3B" w:rsidP="009A6A3B">
                      <w:pPr>
                        <w:jc w:val="center"/>
                        <w:rPr>
                          <w:rFonts w:ascii="Times New Roman" w:hAnsi="Times New Roman" w:cs="Times New Roman"/>
                          <w:b/>
                          <w:color w:val="215E99" w:themeColor="text2" w:themeTint="BF"/>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pPr>
                      <w:r w:rsidRPr="009A6A3B">
                        <w:rPr>
                          <w:rFonts w:ascii="Times New Roman" w:hAnsi="Times New Roman" w:cs="Times New Roman"/>
                          <w:b/>
                          <w:color w:val="215E99" w:themeColor="text2" w:themeTint="BF"/>
                          <w:sz w:val="44"/>
                          <w:szCs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14:props3d w14:extrusionH="57150" w14:contourW="0" w14:prstMaterial="softEdge">
                            <w14:bevelT w14:w="25400" w14:h="38100" w14:prst="circle"/>
                          </w14:props3d>
                        </w:rPr>
                        <w:t>Questions And Answers</w:t>
                      </w:r>
                    </w:p>
                  </w:txbxContent>
                </v:textbox>
                <w10:wrap type="square"/>
              </v:shape>
            </w:pict>
          </mc:Fallback>
        </mc:AlternateContent>
      </w:r>
      <w:r w:rsidR="00432071" w:rsidRPr="00432071">
        <w:rPr>
          <w:noProof/>
        </w:rPr>
        <w:drawing>
          <wp:inline distT="0" distB="0" distL="0" distR="0" wp14:anchorId="4C490873" wp14:editId="00515A8C">
            <wp:extent cx="2990088" cy="365139"/>
            <wp:effectExtent l="0" t="0" r="1270" b="0"/>
            <wp:docPr id="171953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90088" cy="365139"/>
                    </a:xfrm>
                    <a:prstGeom prst="rect">
                      <a:avLst/>
                    </a:prstGeom>
                    <a:noFill/>
                    <a:ln>
                      <a:noFill/>
                    </a:ln>
                  </pic:spPr>
                </pic:pic>
              </a:graphicData>
            </a:graphic>
          </wp:inline>
        </w:drawing>
      </w:r>
      <w:r w:rsidR="00432071" w:rsidRPr="00432071">
        <w:br/>
      </w:r>
    </w:p>
    <w:p w14:paraId="177D8A6C" w14:textId="7D245720" w:rsidR="009A6A3B" w:rsidRDefault="009A6A3B" w:rsidP="009A6A3B">
      <w:pPr>
        <w:rPr>
          <w:rFonts w:ascii="Times New Roman" w:hAnsi="Times New Roman" w:cs="Times New Roman"/>
        </w:rPr>
      </w:pPr>
    </w:p>
    <w:p w14:paraId="2BAFCD14" w14:textId="5A13414A" w:rsidR="00432071" w:rsidRDefault="00432071" w:rsidP="00C15BD6">
      <w:pPr>
        <w:jc w:val="center"/>
        <w:rPr>
          <w:rFonts w:ascii="Times New Roman" w:hAnsi="Times New Roman" w:cs="Times New Roman"/>
        </w:rPr>
      </w:pPr>
      <w:r w:rsidRPr="00432071">
        <w:rPr>
          <w:rFonts w:ascii="Times New Roman" w:hAnsi="Times New Roman" w:cs="Times New Roman"/>
        </w:rPr>
        <w:t>Bridging the Gap: Physician and Revenue Cycle Collaboration to Optimize Denial Prevention and Appeals</w:t>
      </w:r>
    </w:p>
    <w:p w14:paraId="594961CB" w14:textId="0BFC7A9E" w:rsidR="00432071" w:rsidRDefault="00432071" w:rsidP="00432071">
      <w:pPr>
        <w:rPr>
          <w:rFonts w:ascii="Times New Roman" w:hAnsi="Times New Roman" w:cs="Times New Roman"/>
        </w:rPr>
      </w:pPr>
      <w:r w:rsidRPr="00432071">
        <w:rPr>
          <w:rFonts w:ascii="Times New Roman" w:hAnsi="Times New Roman" w:cs="Times New Roman"/>
        </w:rPr>
        <w:t xml:space="preserve">What is your recommendation for denials of sepsis in which our contracts do not address this? We appeal sepsis and have prior stated we adopt Sepsis-2 but payer announced Sepsis-3 criteria must be met? We lose and exhaust our appeal attempts. What should we do? We have talked with the payer via call and they state we must meet Sepsis-3 criteria for dx A41.9. Any ideas what we should do? </w:t>
      </w:r>
      <w:hyperlink r:id="rId6" w:history="1">
        <w:r w:rsidRPr="00432071">
          <w:rPr>
            <w:rStyle w:val="Hyperlink"/>
            <w:rFonts w:ascii="Times New Roman" w:hAnsi="Times New Roman" w:cs="Times New Roman"/>
          </w:rPr>
          <w:t>robin.fetterly@rivhs.com</w:t>
        </w:r>
      </w:hyperlink>
      <w:r w:rsidRPr="00432071">
        <w:rPr>
          <w:rFonts w:ascii="Times New Roman" w:hAnsi="Times New Roman" w:cs="Times New Roman"/>
        </w:rPr>
        <w:t xml:space="preserve"> </w:t>
      </w:r>
    </w:p>
    <w:p w14:paraId="1E384A99" w14:textId="08AB0047" w:rsidR="00A81729" w:rsidRPr="00A81729" w:rsidRDefault="00A81729" w:rsidP="00A81729">
      <w:pPr>
        <w:rPr>
          <w:rFonts w:ascii="Times New Roman" w:hAnsi="Times New Roman" w:cs="Times New Roman"/>
          <w:b/>
          <w:bCs/>
        </w:rPr>
      </w:pPr>
      <w:r w:rsidRPr="00A81729">
        <w:rPr>
          <w:rFonts w:ascii="Times New Roman" w:hAnsi="Times New Roman" w:cs="Times New Roman"/>
          <w:b/>
          <w:bCs/>
        </w:rPr>
        <w:t>1. Addressing Sepsis Denials When Contracts Are Silent on Criteria</w:t>
      </w:r>
    </w:p>
    <w:p w14:paraId="7092A1DA" w14:textId="77777777" w:rsidR="00A81729" w:rsidRPr="00A81729" w:rsidRDefault="00A81729" w:rsidP="00A81729">
      <w:pPr>
        <w:rPr>
          <w:rFonts w:ascii="Times New Roman" w:hAnsi="Times New Roman" w:cs="Times New Roman"/>
        </w:rPr>
      </w:pPr>
      <w:r w:rsidRPr="00A81729">
        <w:rPr>
          <w:rFonts w:ascii="Times New Roman" w:hAnsi="Times New Roman" w:cs="Times New Roman"/>
        </w:rPr>
        <w:t>The discrepancy between Sepsis-2 and Sepsis-3 definitions has led to significant challenges in clinical documentation and reimbursement. While Sepsis-3 emphasizes life-threatening organ dysfunction due to a dysregulated response to infection, Sepsis-2's broader criteria are still widely used in clinical practice.​</w:t>
      </w:r>
    </w:p>
    <w:p w14:paraId="01DC87CB" w14:textId="77777777" w:rsidR="00A81729" w:rsidRPr="00A81729" w:rsidRDefault="00A81729" w:rsidP="00A81729">
      <w:pPr>
        <w:rPr>
          <w:rFonts w:ascii="Times New Roman" w:hAnsi="Times New Roman" w:cs="Times New Roman"/>
        </w:rPr>
      </w:pPr>
      <w:r w:rsidRPr="00A81729">
        <w:rPr>
          <w:rFonts w:ascii="Times New Roman" w:hAnsi="Times New Roman" w:cs="Times New Roman"/>
        </w:rPr>
        <w:t>Recommendations:</w:t>
      </w:r>
    </w:p>
    <w:p w14:paraId="5E8C857E" w14:textId="77777777" w:rsidR="00A81729" w:rsidRPr="000D1C9D" w:rsidRDefault="00A81729" w:rsidP="000D1C9D">
      <w:pPr>
        <w:pStyle w:val="ListParagraph"/>
        <w:numPr>
          <w:ilvl w:val="0"/>
          <w:numId w:val="1"/>
        </w:numPr>
        <w:rPr>
          <w:rFonts w:ascii="Times New Roman" w:hAnsi="Times New Roman" w:cs="Times New Roman"/>
        </w:rPr>
      </w:pPr>
      <w:r w:rsidRPr="000D1C9D">
        <w:rPr>
          <w:rFonts w:ascii="Times New Roman" w:hAnsi="Times New Roman" w:cs="Times New Roman"/>
          <w:b/>
          <w:bCs/>
        </w:rPr>
        <w:t>Internal Policy Alignment</w:t>
      </w:r>
      <w:r w:rsidRPr="000D1C9D">
        <w:rPr>
          <w:rFonts w:ascii="Times New Roman" w:hAnsi="Times New Roman" w:cs="Times New Roman"/>
        </w:rPr>
        <w:t>: Ensure your institution has a clear, documented policy on which sepsis criteria are adopted, supported by clinical rationale and aligned with prevailing guidelines.​</w:t>
      </w:r>
    </w:p>
    <w:p w14:paraId="4FEA1FA2" w14:textId="77777777" w:rsidR="00A81729" w:rsidRPr="000D1C9D" w:rsidRDefault="00A81729" w:rsidP="000D1C9D">
      <w:pPr>
        <w:pStyle w:val="ListParagraph"/>
        <w:numPr>
          <w:ilvl w:val="0"/>
          <w:numId w:val="1"/>
        </w:numPr>
        <w:rPr>
          <w:rFonts w:ascii="Times New Roman" w:hAnsi="Times New Roman" w:cs="Times New Roman"/>
        </w:rPr>
      </w:pPr>
      <w:r w:rsidRPr="000D1C9D">
        <w:rPr>
          <w:rFonts w:ascii="Times New Roman" w:hAnsi="Times New Roman" w:cs="Times New Roman"/>
          <w:b/>
          <w:bCs/>
        </w:rPr>
        <w:t>Engage in Contract Negotiations</w:t>
      </w:r>
      <w:r w:rsidRPr="000D1C9D">
        <w:rPr>
          <w:rFonts w:ascii="Times New Roman" w:hAnsi="Times New Roman" w:cs="Times New Roman"/>
        </w:rPr>
        <w:t>: Initiate discussions with the payer to clarify or amend contract terms regarding sepsis criteria. Emphasize the importance of consistent definitions to avoid future disputes.​</w:t>
      </w:r>
    </w:p>
    <w:p w14:paraId="63CC77D8" w14:textId="77777777" w:rsidR="00A81729" w:rsidRPr="000D1C9D" w:rsidRDefault="00A81729" w:rsidP="000D1C9D">
      <w:pPr>
        <w:pStyle w:val="ListParagraph"/>
        <w:numPr>
          <w:ilvl w:val="0"/>
          <w:numId w:val="1"/>
        </w:numPr>
        <w:rPr>
          <w:rFonts w:ascii="Times New Roman" w:hAnsi="Times New Roman" w:cs="Times New Roman"/>
        </w:rPr>
      </w:pPr>
      <w:r w:rsidRPr="000D1C9D">
        <w:rPr>
          <w:rFonts w:ascii="Times New Roman" w:hAnsi="Times New Roman" w:cs="Times New Roman"/>
          <w:b/>
          <w:bCs/>
        </w:rPr>
        <w:t>Leverage Clinical Documentation</w:t>
      </w:r>
      <w:r w:rsidRPr="000D1C9D">
        <w:rPr>
          <w:rFonts w:ascii="Times New Roman" w:hAnsi="Times New Roman" w:cs="Times New Roman"/>
        </w:rPr>
        <w:t>: Strengthen documentation to clearly demonstrate the presence of sepsis under the adopted criteria. This includes detailed clinical indicators, organ dysfunction assessments, and treatment responses.​</w:t>
      </w:r>
    </w:p>
    <w:p w14:paraId="361E8C2F" w14:textId="77777777" w:rsidR="00A81729" w:rsidRPr="000D1C9D" w:rsidRDefault="00A81729" w:rsidP="000D1C9D">
      <w:pPr>
        <w:pStyle w:val="ListParagraph"/>
        <w:numPr>
          <w:ilvl w:val="0"/>
          <w:numId w:val="1"/>
        </w:numPr>
        <w:rPr>
          <w:rFonts w:ascii="Times New Roman" w:hAnsi="Times New Roman" w:cs="Times New Roman"/>
        </w:rPr>
      </w:pPr>
      <w:r w:rsidRPr="000D1C9D">
        <w:rPr>
          <w:rFonts w:ascii="Times New Roman" w:hAnsi="Times New Roman" w:cs="Times New Roman"/>
          <w:b/>
          <w:bCs/>
        </w:rPr>
        <w:t>Appeal Strategically:</w:t>
      </w:r>
      <w:r w:rsidRPr="000D1C9D">
        <w:rPr>
          <w:rFonts w:ascii="Times New Roman" w:hAnsi="Times New Roman" w:cs="Times New Roman"/>
        </w:rPr>
        <w:t xml:space="preserve"> When appealing denials, provide comprehensive clinical evidence supporting the sepsis diagnosis per your adopted criteria. Highlight any inconsistencies in the payer's application of criteria and reference authoritative guidelines.​</w:t>
      </w:r>
    </w:p>
    <w:p w14:paraId="4CF4C46F" w14:textId="77777777" w:rsidR="00A81729" w:rsidRPr="000D1C9D" w:rsidRDefault="00A81729" w:rsidP="000D1C9D">
      <w:pPr>
        <w:pStyle w:val="ListParagraph"/>
        <w:numPr>
          <w:ilvl w:val="0"/>
          <w:numId w:val="1"/>
        </w:numPr>
        <w:rPr>
          <w:rFonts w:ascii="Times New Roman" w:hAnsi="Times New Roman" w:cs="Times New Roman"/>
        </w:rPr>
      </w:pPr>
      <w:r w:rsidRPr="000D1C9D">
        <w:rPr>
          <w:rFonts w:ascii="Times New Roman" w:hAnsi="Times New Roman" w:cs="Times New Roman"/>
          <w:b/>
          <w:bCs/>
        </w:rPr>
        <w:t>Seek External Review:</w:t>
      </w:r>
      <w:r w:rsidRPr="000D1C9D">
        <w:rPr>
          <w:rFonts w:ascii="Times New Roman" w:hAnsi="Times New Roman" w:cs="Times New Roman"/>
        </w:rPr>
        <w:t xml:space="preserve"> If internal appeals are unsuccessful, consider pursuing an independent external review, especially if the payer's criteria application appears inconsistent or unjustified.​</w:t>
      </w:r>
    </w:p>
    <w:p w14:paraId="36270EF5" w14:textId="77777777" w:rsidR="00A81729" w:rsidRDefault="00A81729" w:rsidP="00432071">
      <w:pPr>
        <w:rPr>
          <w:rFonts w:ascii="Times New Roman" w:hAnsi="Times New Roman" w:cs="Times New Roman"/>
        </w:rPr>
      </w:pPr>
    </w:p>
    <w:p w14:paraId="22B41EF9" w14:textId="77777777" w:rsidR="00A81729" w:rsidRDefault="00A81729" w:rsidP="00432071">
      <w:pPr>
        <w:rPr>
          <w:rFonts w:ascii="Times New Roman" w:hAnsi="Times New Roman" w:cs="Times New Roman"/>
        </w:rPr>
      </w:pPr>
    </w:p>
    <w:p w14:paraId="09A36AD9" w14:textId="3C2A4E1D" w:rsidR="00A81729" w:rsidRPr="00432071" w:rsidRDefault="00A81729" w:rsidP="00432071">
      <w:pPr>
        <w:rPr>
          <w:rFonts w:ascii="Times New Roman" w:hAnsi="Times New Roman" w:cs="Times New Roman"/>
        </w:rPr>
      </w:pPr>
    </w:p>
    <w:p w14:paraId="0DB51643" w14:textId="131877B7" w:rsidR="00432071" w:rsidRPr="00432071" w:rsidRDefault="00432071" w:rsidP="00432071">
      <w:pPr>
        <w:rPr>
          <w:rFonts w:ascii="Times New Roman" w:hAnsi="Times New Roman" w:cs="Times New Roman"/>
        </w:rPr>
      </w:pPr>
      <w:r w:rsidRPr="00432071">
        <w:rPr>
          <w:rFonts w:ascii="Times New Roman" w:hAnsi="Times New Roman" w:cs="Times New Roman"/>
        </w:rPr>
        <w:t xml:space="preserve">New concerns with Wellsense and Point 32 new observation policy </w:t>
      </w:r>
      <w:hyperlink r:id="rId7" w:history="1">
        <w:r w:rsidRPr="00432071">
          <w:rPr>
            <w:rStyle w:val="Hyperlink"/>
            <w:rFonts w:ascii="Times New Roman" w:hAnsi="Times New Roman" w:cs="Times New Roman"/>
          </w:rPr>
          <w:t>jrivers5@mgb.org</w:t>
        </w:r>
      </w:hyperlink>
      <w:r w:rsidRPr="00432071">
        <w:rPr>
          <w:rFonts w:ascii="Times New Roman" w:hAnsi="Times New Roman" w:cs="Times New Roman"/>
        </w:rPr>
        <w:t xml:space="preserve"> </w:t>
      </w:r>
    </w:p>
    <w:p w14:paraId="44D08DF3" w14:textId="13774DF3" w:rsidR="00A81729" w:rsidRPr="00A81729" w:rsidRDefault="000D1C9D" w:rsidP="00A81729">
      <w:pPr>
        <w:rPr>
          <w:rFonts w:ascii="Times New Roman" w:hAnsi="Times New Roman" w:cs="Times New Roman"/>
          <w:b/>
          <w:bCs/>
        </w:rPr>
      </w:pPr>
      <w:r>
        <w:rPr>
          <w:rFonts w:ascii="Times New Roman" w:hAnsi="Times New Roman" w:cs="Times New Roman"/>
          <w:b/>
          <w:bCs/>
        </w:rPr>
        <w:t>2.</w:t>
      </w:r>
      <w:r w:rsidR="00A81729" w:rsidRPr="00A81729">
        <w:rPr>
          <w:rFonts w:ascii="Times New Roman" w:hAnsi="Times New Roman" w:cs="Times New Roman"/>
          <w:b/>
          <w:bCs/>
        </w:rPr>
        <w:t xml:space="preserve"> What should we do about new Wellsense and Point32Health observation policies?</w:t>
      </w:r>
    </w:p>
    <w:p w14:paraId="00E382AF"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b/>
          <w:bCs/>
        </w:rPr>
        <w:t>A.</w:t>
      </w:r>
      <w:r w:rsidRPr="00A81729">
        <w:rPr>
          <w:rFonts w:ascii="Times New Roman" w:hAnsi="Times New Roman" w:cs="Times New Roman"/>
        </w:rPr>
        <w:t xml:space="preserve"> </w:t>
      </w:r>
      <w:r w:rsidRPr="00A81729">
        <w:rPr>
          <w:rFonts w:ascii="Times New Roman" w:hAnsi="Times New Roman" w:cs="Times New Roman"/>
          <w:b/>
          <w:bCs/>
        </w:rPr>
        <w:t>Verify the patient’s product line.</w:t>
      </w:r>
    </w:p>
    <w:p w14:paraId="33192614" w14:textId="3462D59E" w:rsidR="00A81729" w:rsidRPr="00A81729" w:rsidRDefault="00A81729" w:rsidP="00721366">
      <w:pPr>
        <w:ind w:left="720"/>
        <w:rPr>
          <w:rFonts w:ascii="Times New Roman" w:hAnsi="Times New Roman" w:cs="Times New Roman"/>
        </w:rPr>
      </w:pPr>
      <w:r w:rsidRPr="00A81729">
        <w:rPr>
          <w:rFonts w:ascii="Times New Roman" w:hAnsi="Times New Roman" w:cs="Times New Roman"/>
        </w:rPr>
        <w:t xml:space="preserve">Wellsense and Point32Health each offer Medicaid, Medicare Advantage, and commercial plans. You must identify the product type before </w:t>
      </w:r>
      <w:r w:rsidR="000D1C9D" w:rsidRPr="00A81729">
        <w:rPr>
          <w:rFonts w:ascii="Times New Roman" w:hAnsi="Times New Roman" w:cs="Times New Roman"/>
        </w:rPr>
        <w:t>acting</w:t>
      </w:r>
      <w:r w:rsidRPr="00A81729">
        <w:rPr>
          <w:rFonts w:ascii="Times New Roman" w:hAnsi="Times New Roman" w:cs="Times New Roman"/>
        </w:rPr>
        <w:t>, because the regulatory and appeal strategies differ. Don’t assume</w:t>
      </w:r>
      <w:r w:rsidR="000D1C9D">
        <w:rPr>
          <w:rFonts w:ascii="Times New Roman" w:hAnsi="Times New Roman" w:cs="Times New Roman"/>
        </w:rPr>
        <w:t xml:space="preserve"> - </w:t>
      </w:r>
      <w:r w:rsidRPr="00A81729">
        <w:rPr>
          <w:rFonts w:ascii="Times New Roman" w:hAnsi="Times New Roman" w:cs="Times New Roman"/>
        </w:rPr>
        <w:t>verify the plan ID or eligibility response.</w:t>
      </w:r>
    </w:p>
    <w:p w14:paraId="50887A01"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b/>
          <w:bCs/>
        </w:rPr>
        <w:t>B.</w:t>
      </w:r>
      <w:r w:rsidRPr="00A81729">
        <w:rPr>
          <w:rFonts w:ascii="Times New Roman" w:hAnsi="Times New Roman" w:cs="Times New Roman"/>
        </w:rPr>
        <w:t xml:space="preserve"> </w:t>
      </w:r>
      <w:r w:rsidRPr="00A81729">
        <w:rPr>
          <w:rFonts w:ascii="Times New Roman" w:hAnsi="Times New Roman" w:cs="Times New Roman"/>
          <w:b/>
          <w:bCs/>
        </w:rPr>
        <w:t>If it’s a Medicare Advantage plan (e.g., Tufts Medicare Preferred or WellSense MA</w:t>
      </w:r>
      <w:r w:rsidRPr="00A81729">
        <w:rPr>
          <w:rFonts w:ascii="Times New Roman" w:hAnsi="Times New Roman" w:cs="Times New Roman"/>
        </w:rPr>
        <w:t>):</w:t>
      </w:r>
    </w:p>
    <w:p w14:paraId="5FBF89CB" w14:textId="2F10A175" w:rsidR="00A81729" w:rsidRPr="00A81729" w:rsidRDefault="00A81729" w:rsidP="00721366">
      <w:pPr>
        <w:ind w:left="720"/>
        <w:rPr>
          <w:rFonts w:ascii="Times New Roman" w:hAnsi="Times New Roman" w:cs="Times New Roman"/>
        </w:rPr>
      </w:pPr>
      <w:r w:rsidRPr="00A81729">
        <w:rPr>
          <w:rFonts w:ascii="Times New Roman" w:hAnsi="Times New Roman" w:cs="Times New Roman"/>
        </w:rPr>
        <w:t xml:space="preserve">Use CMS's July 17 </w:t>
      </w:r>
      <w:r w:rsidR="000D1C9D" w:rsidRPr="00A81729">
        <w:rPr>
          <w:rFonts w:ascii="Times New Roman" w:hAnsi="Times New Roman" w:cs="Times New Roman"/>
        </w:rPr>
        <w:t>2023,</w:t>
      </w:r>
      <w:r w:rsidRPr="00A81729">
        <w:rPr>
          <w:rFonts w:ascii="Times New Roman" w:hAnsi="Times New Roman" w:cs="Times New Roman"/>
        </w:rPr>
        <w:t xml:space="preserve"> memo as your appeal foundation. MA plans must follow the CMS Two-Midnight Rule.</w:t>
      </w:r>
    </w:p>
    <w:p w14:paraId="5216246F"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In your appeal, cite CMS language that says the admitting physician’s expectation and documentation of a two-midnight stay qualifies for inpatient status.</w:t>
      </w:r>
    </w:p>
    <w:p w14:paraId="3680A18C"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If the payer refuses payment despite this, escalate to CMS using HPMS or advise the patient to call 1-800-MEDICARE.</w:t>
      </w:r>
    </w:p>
    <w:p w14:paraId="7FC24EEC"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Track each denial. If it becomes systemic, PayerWatch and AHDAM can support your efforts to report the pattern.</w:t>
      </w:r>
    </w:p>
    <w:p w14:paraId="1F178B8A" w14:textId="77777777" w:rsidR="00A81729" w:rsidRPr="00A81729" w:rsidRDefault="00A81729" w:rsidP="00721366">
      <w:pPr>
        <w:ind w:left="720"/>
        <w:rPr>
          <w:rFonts w:ascii="Times New Roman" w:hAnsi="Times New Roman" w:cs="Times New Roman"/>
          <w:b/>
          <w:bCs/>
        </w:rPr>
      </w:pPr>
      <w:r w:rsidRPr="00A81729">
        <w:rPr>
          <w:rFonts w:ascii="Times New Roman" w:hAnsi="Times New Roman" w:cs="Times New Roman"/>
          <w:b/>
          <w:bCs/>
        </w:rPr>
        <w:t>C. If it’s a Medicaid plan (e.g., MassHealth via WellSense or Tufts Health Together):</w:t>
      </w:r>
    </w:p>
    <w:p w14:paraId="6DBF5012"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Request the full observation policy in writing.</w:t>
      </w:r>
    </w:p>
    <w:p w14:paraId="5F6FB062"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If the denial contradicts published MassHealth guidelines or creates barriers to medically necessary inpatient care, file a grievance with the state Medicaid office.</w:t>
      </w:r>
    </w:p>
    <w:p w14:paraId="5ACE8487"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In Massachusetts, that’s MassHealth’s Office of Medicaid Board of Hearings. In New Hampshire, contact DHHS Managed Care Ombudsman.</w:t>
      </w:r>
    </w:p>
    <w:p w14:paraId="3FBF2295"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Make sure your appeal references any state-mandated coverage policies, if available. These vary by state.</w:t>
      </w:r>
    </w:p>
    <w:p w14:paraId="375740D1" w14:textId="77777777" w:rsidR="00A81729" w:rsidRPr="00A81729" w:rsidRDefault="00A81729" w:rsidP="00721366">
      <w:pPr>
        <w:ind w:left="720"/>
        <w:rPr>
          <w:rFonts w:ascii="Times New Roman" w:hAnsi="Times New Roman" w:cs="Times New Roman"/>
          <w:b/>
          <w:bCs/>
        </w:rPr>
      </w:pPr>
      <w:r w:rsidRPr="00A81729">
        <w:rPr>
          <w:rFonts w:ascii="Times New Roman" w:hAnsi="Times New Roman" w:cs="Times New Roman"/>
          <w:b/>
          <w:bCs/>
        </w:rPr>
        <w:t>D. If it’s a Commercial or Exchange plan (e.g., Tufts Direct or Harvard Pilgrim PPO):</w:t>
      </w:r>
    </w:p>
    <w:p w14:paraId="269E0CC6"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Ask for the policy in writing. Don’t waste time appealing blindly.</w:t>
      </w:r>
    </w:p>
    <w:p w14:paraId="185CCB25"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t>If the observation policy is vague or overly strict, appeal based on InterQual or MCG criteria, and cite clinical risks (e.g., syncope, decompensation, complex comorbidities).</w:t>
      </w:r>
    </w:p>
    <w:p w14:paraId="3AE9FB4C" w14:textId="77777777" w:rsidR="00A81729" w:rsidRPr="00A81729" w:rsidRDefault="00A81729" w:rsidP="00721366">
      <w:pPr>
        <w:ind w:left="720"/>
        <w:rPr>
          <w:rFonts w:ascii="Times New Roman" w:hAnsi="Times New Roman" w:cs="Times New Roman"/>
        </w:rPr>
      </w:pPr>
      <w:r w:rsidRPr="00A81729">
        <w:rPr>
          <w:rFonts w:ascii="Times New Roman" w:hAnsi="Times New Roman" w:cs="Times New Roman"/>
        </w:rPr>
        <w:lastRenderedPageBreak/>
        <w:t>If the patient stayed two midnights or had risk justifying inpatient status, document that thoroughly and submit with the appeal.</w:t>
      </w:r>
    </w:p>
    <w:p w14:paraId="3D5A5692" w14:textId="76D75D27" w:rsidR="00A81729" w:rsidRPr="00A81729" w:rsidRDefault="00A81729" w:rsidP="00721366">
      <w:pPr>
        <w:ind w:left="720"/>
        <w:rPr>
          <w:rFonts w:ascii="Times New Roman" w:hAnsi="Times New Roman" w:cs="Times New Roman"/>
        </w:rPr>
      </w:pPr>
      <w:r w:rsidRPr="00A81729">
        <w:rPr>
          <w:rFonts w:ascii="Times New Roman" w:hAnsi="Times New Roman" w:cs="Times New Roman"/>
        </w:rPr>
        <w:t>For systemic issues, push your payer rep</w:t>
      </w:r>
      <w:r>
        <w:rPr>
          <w:rFonts w:ascii="Times New Roman" w:hAnsi="Times New Roman" w:cs="Times New Roman"/>
        </w:rPr>
        <w:t>resentative</w:t>
      </w:r>
      <w:r w:rsidRPr="00A81729">
        <w:rPr>
          <w:rFonts w:ascii="Times New Roman" w:hAnsi="Times New Roman" w:cs="Times New Roman"/>
        </w:rPr>
        <w:t xml:space="preserve"> for contract review or policy modification.</w:t>
      </w:r>
    </w:p>
    <w:p w14:paraId="2460D218" w14:textId="77777777" w:rsidR="00A81729" w:rsidRPr="00A81729" w:rsidRDefault="00A81729" w:rsidP="00721366">
      <w:pPr>
        <w:ind w:left="720"/>
        <w:rPr>
          <w:rFonts w:ascii="Times New Roman" w:hAnsi="Times New Roman" w:cs="Times New Roman"/>
          <w:b/>
          <w:bCs/>
        </w:rPr>
      </w:pPr>
      <w:r w:rsidRPr="00A81729">
        <w:rPr>
          <w:rFonts w:ascii="Times New Roman" w:hAnsi="Times New Roman" w:cs="Times New Roman"/>
          <w:b/>
          <w:bCs/>
        </w:rPr>
        <w:t>E. Share your cases.</w:t>
      </w:r>
    </w:p>
    <w:p w14:paraId="6D4B0B89" w14:textId="268E33D4" w:rsidR="00F54D0A" w:rsidRPr="00A81729" w:rsidRDefault="00A81729" w:rsidP="008528AB">
      <w:pPr>
        <w:ind w:left="720"/>
        <w:rPr>
          <w:rFonts w:ascii="Times New Roman" w:hAnsi="Times New Roman" w:cs="Times New Roman"/>
        </w:rPr>
      </w:pPr>
      <w:r w:rsidRPr="00A81729">
        <w:rPr>
          <w:rFonts w:ascii="Times New Roman" w:hAnsi="Times New Roman" w:cs="Times New Roman"/>
        </w:rPr>
        <w:t>If you're seeing frequent denials from Wellsense or Point32 that seem out of alignment with policy or medical necessity, share redacted examples with AHDAM. We are building a working group to address exactly this kind of payer behavior across the industry.</w:t>
      </w:r>
    </w:p>
    <w:p w14:paraId="5D20296F" w14:textId="03F4CEFA" w:rsidR="00432071" w:rsidRPr="00432071" w:rsidRDefault="00432071" w:rsidP="00432071">
      <w:pPr>
        <w:rPr>
          <w:rFonts w:ascii="Times New Roman" w:hAnsi="Times New Roman" w:cs="Times New Roman"/>
        </w:rPr>
      </w:pPr>
      <w:r w:rsidRPr="00432071">
        <w:rPr>
          <w:rFonts w:ascii="Times New Roman" w:hAnsi="Times New Roman" w:cs="Times New Roman"/>
        </w:rPr>
        <w:t xml:space="preserve">How do you recommend handling Cotiviti's Cross Clinical Claim Review denials where they are denying based on claims data only without having seen the medical record documentation? The volume of these at our facility is high and each other these requests are labor intense to process because they require the complete medical record, DRG Coding Summary and detailed bill be sent with the appeal. </w:t>
      </w:r>
      <w:hyperlink r:id="rId8" w:history="1">
        <w:r w:rsidR="000D1C9D" w:rsidRPr="008C3733">
          <w:rPr>
            <w:rStyle w:val="Hyperlink"/>
            <w:rFonts w:ascii="Times New Roman" w:hAnsi="Times New Roman" w:cs="Times New Roman"/>
          </w:rPr>
          <w:t>nicwagn@med.umich.edu</w:t>
        </w:r>
      </w:hyperlink>
      <w:r w:rsidR="000D1C9D">
        <w:rPr>
          <w:rFonts w:ascii="Times New Roman" w:hAnsi="Times New Roman" w:cs="Times New Roman"/>
        </w:rPr>
        <w:t xml:space="preserve"> </w:t>
      </w:r>
    </w:p>
    <w:p w14:paraId="12820C64" w14:textId="366B56DB" w:rsidR="000D1C9D" w:rsidRPr="000D1C9D" w:rsidRDefault="000D1C9D" w:rsidP="000D1C9D">
      <w:pPr>
        <w:rPr>
          <w:rFonts w:ascii="Times New Roman" w:hAnsi="Times New Roman" w:cs="Times New Roman"/>
          <w:b/>
          <w:bCs/>
        </w:rPr>
      </w:pPr>
      <w:r w:rsidRPr="000D1C9D">
        <w:rPr>
          <w:rFonts w:ascii="Times New Roman" w:hAnsi="Times New Roman" w:cs="Times New Roman"/>
          <w:b/>
          <w:bCs/>
        </w:rPr>
        <w:t>3. Managing Cotiviti's Cross-Claim Clinical Review Denials Without Medical Record Review</w:t>
      </w:r>
    </w:p>
    <w:p w14:paraId="22220DAE" w14:textId="77777777" w:rsidR="000D1C9D" w:rsidRPr="000D1C9D" w:rsidRDefault="000D1C9D" w:rsidP="000D1C9D">
      <w:pPr>
        <w:rPr>
          <w:rFonts w:ascii="Times New Roman" w:hAnsi="Times New Roman" w:cs="Times New Roman"/>
        </w:rPr>
      </w:pPr>
      <w:r w:rsidRPr="000D1C9D">
        <w:rPr>
          <w:rFonts w:ascii="Times New Roman" w:hAnsi="Times New Roman" w:cs="Times New Roman"/>
        </w:rPr>
        <w:t>Cotiviti's practice of denying claims based solely on claims data, without reviewing medical records, poses significant challenges.​</w:t>
      </w:r>
    </w:p>
    <w:p w14:paraId="5ED93EE2" w14:textId="77777777" w:rsidR="000D1C9D" w:rsidRPr="000D1C9D" w:rsidRDefault="000D1C9D" w:rsidP="000D1C9D">
      <w:pPr>
        <w:rPr>
          <w:rFonts w:ascii="Times New Roman" w:hAnsi="Times New Roman" w:cs="Times New Roman"/>
        </w:rPr>
      </w:pPr>
      <w:r w:rsidRPr="000D1C9D">
        <w:rPr>
          <w:rFonts w:ascii="Times New Roman" w:hAnsi="Times New Roman" w:cs="Times New Roman"/>
        </w:rPr>
        <w:t>Recommendations:</w:t>
      </w:r>
    </w:p>
    <w:p w14:paraId="0754DC1B" w14:textId="77777777" w:rsidR="000D1C9D" w:rsidRPr="000D1C9D" w:rsidRDefault="000D1C9D" w:rsidP="000D1C9D">
      <w:pPr>
        <w:rPr>
          <w:rFonts w:ascii="Times New Roman" w:hAnsi="Times New Roman" w:cs="Times New Roman"/>
        </w:rPr>
      </w:pPr>
      <w:r w:rsidRPr="000D1C9D">
        <w:rPr>
          <w:rFonts w:ascii="Times New Roman" w:hAnsi="Times New Roman" w:cs="Times New Roman"/>
          <w:b/>
          <w:bCs/>
        </w:rPr>
        <w:t>Challenge the Denial Basis:</w:t>
      </w:r>
      <w:r w:rsidRPr="000D1C9D">
        <w:rPr>
          <w:rFonts w:ascii="Times New Roman" w:hAnsi="Times New Roman" w:cs="Times New Roman"/>
        </w:rPr>
        <w:t xml:space="preserve"> In your appeals, assert that denying claims without reviewing the full medical record is inadequate and may not capture the complexity of the patient's condition.​</w:t>
      </w:r>
    </w:p>
    <w:p w14:paraId="5D8CB360" w14:textId="77777777" w:rsidR="000D1C9D" w:rsidRPr="000D1C9D" w:rsidRDefault="000D1C9D" w:rsidP="000D1C9D">
      <w:pPr>
        <w:rPr>
          <w:rFonts w:ascii="Times New Roman" w:hAnsi="Times New Roman" w:cs="Times New Roman"/>
        </w:rPr>
      </w:pPr>
      <w:r w:rsidRPr="000D1C9D">
        <w:rPr>
          <w:rFonts w:ascii="Times New Roman" w:hAnsi="Times New Roman" w:cs="Times New Roman"/>
          <w:b/>
          <w:bCs/>
        </w:rPr>
        <w:t>Streamline Documentation:</w:t>
      </w:r>
      <w:r w:rsidRPr="000D1C9D">
        <w:rPr>
          <w:rFonts w:ascii="Times New Roman" w:hAnsi="Times New Roman" w:cs="Times New Roman"/>
        </w:rPr>
        <w:t xml:space="preserve"> Develop standardized templates and processes to efficiently compile and submit the necessary documentation for appeals, reducing the administrative burden.​</w:t>
      </w:r>
    </w:p>
    <w:p w14:paraId="79CA5339" w14:textId="77777777" w:rsidR="000D1C9D" w:rsidRPr="000D1C9D" w:rsidRDefault="000D1C9D" w:rsidP="000D1C9D">
      <w:pPr>
        <w:rPr>
          <w:rFonts w:ascii="Times New Roman" w:hAnsi="Times New Roman" w:cs="Times New Roman"/>
        </w:rPr>
      </w:pPr>
      <w:r w:rsidRPr="000D1C9D">
        <w:rPr>
          <w:rFonts w:ascii="Times New Roman" w:hAnsi="Times New Roman" w:cs="Times New Roman"/>
          <w:b/>
          <w:bCs/>
        </w:rPr>
        <w:t>Engage</w:t>
      </w:r>
      <w:r w:rsidRPr="000D1C9D">
        <w:rPr>
          <w:rFonts w:ascii="Times New Roman" w:hAnsi="Times New Roman" w:cs="Times New Roman"/>
        </w:rPr>
        <w:t xml:space="preserve"> with Cotiviti and Payers: Communicate directly with Cotiviti and the associated payers to express concerns about this practice. Advocate for policy changes that require comprehensive medical record reviews before claim denials.​</w:t>
      </w:r>
    </w:p>
    <w:p w14:paraId="61E79A61" w14:textId="77777777" w:rsidR="000D1C9D" w:rsidRPr="000D1C9D" w:rsidRDefault="000D1C9D" w:rsidP="000D1C9D">
      <w:pPr>
        <w:rPr>
          <w:rFonts w:ascii="Times New Roman" w:hAnsi="Times New Roman" w:cs="Times New Roman"/>
        </w:rPr>
      </w:pPr>
      <w:r w:rsidRPr="000D1C9D">
        <w:rPr>
          <w:rFonts w:ascii="Times New Roman" w:hAnsi="Times New Roman" w:cs="Times New Roman"/>
          <w:b/>
          <w:bCs/>
        </w:rPr>
        <w:t>Monitor and Analyze Denial Trends</w:t>
      </w:r>
      <w:r w:rsidRPr="000D1C9D">
        <w:rPr>
          <w:rFonts w:ascii="Times New Roman" w:hAnsi="Times New Roman" w:cs="Times New Roman"/>
        </w:rPr>
        <w:t>: Keep detailed records of such denials, including success rates of appeals. This data can be instrumental in negotiations and in demonstrating the need for policy revisions.​</w:t>
      </w:r>
    </w:p>
    <w:p w14:paraId="0C59DE0C" w14:textId="38670BEE" w:rsidR="000D1C9D" w:rsidRDefault="000D1C9D" w:rsidP="00432071">
      <w:pPr>
        <w:rPr>
          <w:rFonts w:ascii="Times New Roman" w:hAnsi="Times New Roman" w:cs="Times New Roman"/>
        </w:rPr>
      </w:pPr>
      <w:r w:rsidRPr="000D1C9D">
        <w:rPr>
          <w:rFonts w:ascii="Times New Roman" w:hAnsi="Times New Roman" w:cs="Times New Roman"/>
          <w:b/>
          <w:bCs/>
        </w:rPr>
        <w:t>Leverage Technology Solutions</w:t>
      </w:r>
      <w:r w:rsidRPr="000D1C9D">
        <w:rPr>
          <w:rFonts w:ascii="Times New Roman" w:hAnsi="Times New Roman" w:cs="Times New Roman"/>
        </w:rPr>
        <w:t>: Consider utilizing platforms that can automate parts of the appeal process, track denials, and generate reports to support your</w:t>
      </w:r>
    </w:p>
    <w:p w14:paraId="4AF56ECC" w14:textId="1FDCE4D7" w:rsidR="00A81729" w:rsidRDefault="00F54D0A" w:rsidP="00A81729">
      <w:pPr>
        <w:rPr>
          <w:rFonts w:ascii="Times New Roman" w:hAnsi="Times New Roman" w:cs="Times New Roman"/>
        </w:rPr>
      </w:pPr>
      <w:r>
        <w:rPr>
          <w:rFonts w:ascii="Times New Roman" w:hAnsi="Times New Roman" w:cs="Times New Roman"/>
        </w:rPr>
        <w:t xml:space="preserve">4. </w:t>
      </w:r>
      <w:r w:rsidR="00A81729" w:rsidRPr="00A81729">
        <w:rPr>
          <w:rFonts w:ascii="Times New Roman" w:hAnsi="Times New Roman" w:cs="Times New Roman"/>
        </w:rPr>
        <w:t>From "Architecture/Structure" slide we have lots of data - I'm a data analyst dedicated to our UR/PA team - I'm coming late into this webinar having just left a med staff UM Committee meeting where the PA is presenting case reviews reflective of data trends but how do you really change physician behaviors, these presentations almost falls on deaf ears in the meeting room. Are there other tactics for physician engagement?</w:t>
      </w:r>
      <w:r w:rsidR="00480281">
        <w:rPr>
          <w:rFonts w:ascii="Times New Roman" w:hAnsi="Times New Roman" w:cs="Times New Roman"/>
        </w:rPr>
        <w:t xml:space="preserve"> </w:t>
      </w:r>
      <w:hyperlink r:id="rId9" w:history="1">
        <w:r w:rsidR="00480281" w:rsidRPr="00C86F10">
          <w:rPr>
            <w:rStyle w:val="Hyperlink"/>
            <w:rFonts w:ascii="Times New Roman" w:hAnsi="Times New Roman" w:cs="Times New Roman"/>
          </w:rPr>
          <w:t>stephanie.slankard@baycare.org</w:t>
        </w:r>
      </w:hyperlink>
      <w:r w:rsidR="00480281">
        <w:rPr>
          <w:rFonts w:ascii="Times New Roman" w:hAnsi="Times New Roman" w:cs="Times New Roman"/>
        </w:rPr>
        <w:t xml:space="preserve"> </w:t>
      </w:r>
    </w:p>
    <w:p w14:paraId="4D732124" w14:textId="6806FE7F" w:rsidR="00480281" w:rsidRPr="00480281" w:rsidRDefault="00480281" w:rsidP="00480281">
      <w:pPr>
        <w:rPr>
          <w:rFonts w:ascii="Times New Roman" w:hAnsi="Times New Roman" w:cs="Times New Roman"/>
        </w:rPr>
      </w:pPr>
      <w:r w:rsidRPr="008528AB">
        <w:rPr>
          <w:rFonts w:ascii="Times New Roman" w:hAnsi="Times New Roman" w:cs="Times New Roman"/>
          <w:b/>
          <w:bCs/>
        </w:rPr>
        <w:t>ANSWER</w:t>
      </w:r>
      <w:r>
        <w:rPr>
          <w:rFonts w:ascii="Times New Roman" w:hAnsi="Times New Roman" w:cs="Times New Roman"/>
        </w:rPr>
        <w:t xml:space="preserve">: </w:t>
      </w:r>
      <w:r w:rsidRPr="00480281">
        <w:rPr>
          <w:rFonts w:ascii="Times New Roman" w:hAnsi="Times New Roman" w:cs="Times New Roman"/>
        </w:rPr>
        <w:t>The struggle is real.  I've spent many frustrating hours trying to convince clinicians that I care more about documentation than I do money....which is true.  However, that is also the base belief that they need to hear, and that you need to make.   Quality over Money.  Evidence Based Revenue Cycle is a term that I use (I think I might have coined it!).  If I focus on quality and documentation, then the outcome of cash "happens" and I don't have to chase money.</w:t>
      </w:r>
    </w:p>
    <w:p w14:paraId="54CB3D0A" w14:textId="77777777" w:rsidR="00480281" w:rsidRPr="00480281" w:rsidRDefault="00480281" w:rsidP="00480281">
      <w:pPr>
        <w:rPr>
          <w:rFonts w:ascii="Times New Roman" w:hAnsi="Times New Roman" w:cs="Times New Roman"/>
        </w:rPr>
      </w:pPr>
      <w:r w:rsidRPr="00480281">
        <w:rPr>
          <w:rFonts w:ascii="Times New Roman" w:hAnsi="Times New Roman" w:cs="Times New Roman"/>
        </w:rPr>
        <w:t>So, how have I been successful?  </w:t>
      </w:r>
    </w:p>
    <w:p w14:paraId="13F1961B" w14:textId="7B2100D8" w:rsidR="00480281" w:rsidRPr="00480281" w:rsidRDefault="00480281" w:rsidP="00480281">
      <w:pPr>
        <w:numPr>
          <w:ilvl w:val="0"/>
          <w:numId w:val="2"/>
        </w:numPr>
        <w:rPr>
          <w:rFonts w:ascii="Times New Roman" w:hAnsi="Times New Roman" w:cs="Times New Roman"/>
        </w:rPr>
      </w:pPr>
      <w:r w:rsidRPr="00480281">
        <w:rPr>
          <w:rFonts w:ascii="Times New Roman" w:hAnsi="Times New Roman" w:cs="Times New Roman"/>
        </w:rPr>
        <w:t>Start with data and specifics</w:t>
      </w:r>
      <w:r w:rsidR="008528AB" w:rsidRPr="00480281">
        <w:rPr>
          <w:rFonts w:ascii="Times New Roman" w:hAnsi="Times New Roman" w:cs="Times New Roman"/>
        </w:rPr>
        <w:t>: Bring</w:t>
      </w:r>
      <w:r w:rsidRPr="00480281">
        <w:rPr>
          <w:rFonts w:ascii="Times New Roman" w:hAnsi="Times New Roman" w:cs="Times New Roman"/>
        </w:rPr>
        <w:t xml:space="preserve"> real accounts from your facility(s) and even better, bring real accounts that demonstrate where your care team didn't meet the burden of proof for quality.  Clinicians, I have often found, think of CODING as something that is related to reimbursement....and sure, we get paid on the codes.....but EVERY Qaulity metric uses those same codes to determine if a health outcome was favorable or not.  Hence, every code is an opportunity to prove that you are a quality clinician....or not.</w:t>
      </w:r>
    </w:p>
    <w:p w14:paraId="36184BBF" w14:textId="77777777" w:rsidR="00480281" w:rsidRPr="00480281" w:rsidRDefault="00480281" w:rsidP="00480281">
      <w:pPr>
        <w:numPr>
          <w:ilvl w:val="0"/>
          <w:numId w:val="3"/>
        </w:numPr>
        <w:rPr>
          <w:rFonts w:ascii="Times New Roman" w:hAnsi="Times New Roman" w:cs="Times New Roman"/>
        </w:rPr>
      </w:pPr>
      <w:r w:rsidRPr="00480281">
        <w:rPr>
          <w:rFonts w:ascii="Times New Roman" w:hAnsi="Times New Roman" w:cs="Times New Roman"/>
        </w:rPr>
        <w:t>Have a respected peer deliver the findings.  You can coach that person, but it will come better from a PRACTICING, RESPECTED peer.  The conversation will be received with more respect and from someone whom they consider to "understand" the situation.  The practicing teacher is important from my experience...where that is a Physican Advisor, CMO, or an emerging new position I love: CMO, Revenue Cycle.  The key is if that person still practices medicine, they will be better received that a retiree.</w:t>
      </w:r>
    </w:p>
    <w:p w14:paraId="6AF234C8" w14:textId="0ECEF7F6" w:rsidR="00480281" w:rsidRPr="00480281" w:rsidRDefault="00480281" w:rsidP="00480281">
      <w:pPr>
        <w:numPr>
          <w:ilvl w:val="0"/>
          <w:numId w:val="4"/>
        </w:numPr>
        <w:rPr>
          <w:rFonts w:ascii="Times New Roman" w:hAnsi="Times New Roman" w:cs="Times New Roman"/>
        </w:rPr>
      </w:pPr>
      <w:r w:rsidRPr="00480281">
        <w:rPr>
          <w:rFonts w:ascii="Times New Roman" w:hAnsi="Times New Roman" w:cs="Times New Roman"/>
        </w:rPr>
        <w:t>Don't try to conquer this all at once.  Pick a top 3 or 5 (Problem Clinicians, Problems Diagnosis, Problem CARC/RARC combos, etc) and focus on those for 1-3 months.  Put the other problems in a parking lot and escalate as you check others off the list.  A problem I see often is the "boiling the ocean" approach.....ie, trying to solve too many things at once.  Prioritization and working those priorities from root cause to completion is the key.</w:t>
      </w:r>
    </w:p>
    <w:p w14:paraId="302B388D" w14:textId="379A069B" w:rsidR="000D1C9D" w:rsidRDefault="00F54D0A" w:rsidP="000D1C9D">
      <w:pPr>
        <w:rPr>
          <w:rFonts w:ascii="Times New Roman" w:hAnsi="Times New Roman" w:cs="Times New Roman"/>
        </w:rPr>
      </w:pPr>
      <w:r>
        <w:rPr>
          <w:rFonts w:ascii="Times New Roman" w:hAnsi="Times New Roman" w:cs="Times New Roman"/>
        </w:rPr>
        <w:t xml:space="preserve">5. </w:t>
      </w:r>
      <w:r w:rsidR="000D1C9D" w:rsidRPr="000D1C9D">
        <w:rPr>
          <w:rFonts w:ascii="Times New Roman" w:hAnsi="Times New Roman" w:cs="Times New Roman"/>
        </w:rPr>
        <w:t xml:space="preserve">Are Medicare Advantage plans subject only to federal regs and not to the state insurance boards? </w:t>
      </w:r>
      <w:hyperlink r:id="rId10" w:history="1">
        <w:r w:rsidR="000D1C9D" w:rsidRPr="000D1C9D">
          <w:rPr>
            <w:rStyle w:val="Hyperlink"/>
            <w:rFonts w:ascii="Times New Roman" w:hAnsi="Times New Roman" w:cs="Times New Roman"/>
          </w:rPr>
          <w:t>cathy.seluke@mainegeneral.org</w:t>
        </w:r>
      </w:hyperlink>
      <w:r w:rsidR="000D1C9D" w:rsidRPr="000D1C9D">
        <w:rPr>
          <w:rFonts w:ascii="Times New Roman" w:hAnsi="Times New Roman" w:cs="Times New Roman"/>
        </w:rPr>
        <w:t xml:space="preserve"> </w:t>
      </w:r>
    </w:p>
    <w:p w14:paraId="3096DB6F" w14:textId="77777777" w:rsidR="00480281" w:rsidRPr="00480281" w:rsidRDefault="00480281" w:rsidP="00480281">
      <w:pPr>
        <w:rPr>
          <w:rFonts w:ascii="Times New Roman" w:hAnsi="Times New Roman" w:cs="Times New Roman"/>
        </w:rPr>
      </w:pPr>
      <w:r w:rsidRPr="00480281">
        <w:rPr>
          <w:rFonts w:ascii="Times New Roman" w:hAnsi="Times New Roman" w:cs="Times New Roman"/>
        </w:rPr>
        <w:t>Primarily, yes.  They are supposed to comply with CMS, but are more and more operating in a nebulous manner that abides by the freedom they are normally granted in the commercial world and there are many, many examples we see where it feels like CMS is asleep at the wheel in terms of enforcement.</w:t>
      </w:r>
    </w:p>
    <w:p w14:paraId="571A3D3C" w14:textId="266D077E" w:rsidR="00480281" w:rsidRPr="000D1C9D" w:rsidRDefault="00480281" w:rsidP="00480281">
      <w:pPr>
        <w:rPr>
          <w:rFonts w:ascii="Times New Roman" w:hAnsi="Times New Roman" w:cs="Times New Roman"/>
        </w:rPr>
      </w:pPr>
      <w:r w:rsidRPr="00480281">
        <w:rPr>
          <w:rFonts w:ascii="Times New Roman" w:hAnsi="Times New Roman" w:cs="Times New Roman"/>
        </w:rPr>
        <w:t>There are some state licensing requirements but the rules of adherence should comply with CMS policy.</w:t>
      </w:r>
    </w:p>
    <w:p w14:paraId="4D8C4BF1" w14:textId="77777777" w:rsidR="000D1C9D" w:rsidRPr="00A81729" w:rsidRDefault="000D1C9D" w:rsidP="00A81729">
      <w:pPr>
        <w:rPr>
          <w:rFonts w:ascii="Times New Roman" w:hAnsi="Times New Roman" w:cs="Times New Roman"/>
        </w:rPr>
      </w:pPr>
    </w:p>
    <w:p w14:paraId="3829C742" w14:textId="62391DFD" w:rsidR="00A81729" w:rsidRPr="00432071" w:rsidRDefault="00A81729" w:rsidP="00432071">
      <w:pPr>
        <w:rPr>
          <w:rFonts w:ascii="Times New Roman" w:hAnsi="Times New Roman" w:cs="Times New Roman"/>
        </w:rPr>
      </w:pPr>
    </w:p>
    <w:sectPr w:rsidR="00A81729" w:rsidRPr="004320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030300"/>
    <w:multiLevelType w:val="hybridMultilevel"/>
    <w:tmpl w:val="932459EA"/>
    <w:lvl w:ilvl="0" w:tplc="E536C4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829BD"/>
    <w:multiLevelType w:val="multilevel"/>
    <w:tmpl w:val="FB26871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C132FB1"/>
    <w:multiLevelType w:val="multilevel"/>
    <w:tmpl w:val="B89EF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D771BA5"/>
    <w:multiLevelType w:val="multilevel"/>
    <w:tmpl w:val="8FA058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81889698">
    <w:abstractNumId w:val="0"/>
  </w:num>
  <w:num w:numId="2" w16cid:durableId="11117014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01725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9845968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71"/>
    <w:rsid w:val="000D1C9D"/>
    <w:rsid w:val="002013EE"/>
    <w:rsid w:val="00230B07"/>
    <w:rsid w:val="00432071"/>
    <w:rsid w:val="00463B7C"/>
    <w:rsid w:val="00480281"/>
    <w:rsid w:val="006C5473"/>
    <w:rsid w:val="00721366"/>
    <w:rsid w:val="008528AB"/>
    <w:rsid w:val="00873827"/>
    <w:rsid w:val="00905638"/>
    <w:rsid w:val="009A6A3B"/>
    <w:rsid w:val="00A81729"/>
    <w:rsid w:val="00B10811"/>
    <w:rsid w:val="00C15BD6"/>
    <w:rsid w:val="00E26784"/>
    <w:rsid w:val="00EA0630"/>
    <w:rsid w:val="00F54D0A"/>
    <w:rsid w:val="00FB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DEDB"/>
  <w15:chartTrackingRefBased/>
  <w15:docId w15:val="{9C65737E-E0C6-4173-B576-BA01164B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2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071"/>
    <w:rPr>
      <w:rFonts w:eastAsiaTheme="majorEastAsia" w:cstheme="majorBidi"/>
      <w:color w:val="272727" w:themeColor="text1" w:themeTint="D8"/>
    </w:rPr>
  </w:style>
  <w:style w:type="paragraph" w:styleId="Title">
    <w:name w:val="Title"/>
    <w:basedOn w:val="Normal"/>
    <w:next w:val="Normal"/>
    <w:link w:val="TitleChar"/>
    <w:uiPriority w:val="10"/>
    <w:qFormat/>
    <w:rsid w:val="00432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071"/>
    <w:pPr>
      <w:spacing w:before="160"/>
      <w:jc w:val="center"/>
    </w:pPr>
    <w:rPr>
      <w:i/>
      <w:iCs/>
      <w:color w:val="404040" w:themeColor="text1" w:themeTint="BF"/>
    </w:rPr>
  </w:style>
  <w:style w:type="character" w:customStyle="1" w:styleId="QuoteChar">
    <w:name w:val="Quote Char"/>
    <w:basedOn w:val="DefaultParagraphFont"/>
    <w:link w:val="Quote"/>
    <w:uiPriority w:val="29"/>
    <w:rsid w:val="00432071"/>
    <w:rPr>
      <w:i/>
      <w:iCs/>
      <w:color w:val="404040" w:themeColor="text1" w:themeTint="BF"/>
    </w:rPr>
  </w:style>
  <w:style w:type="paragraph" w:styleId="ListParagraph">
    <w:name w:val="List Paragraph"/>
    <w:basedOn w:val="Normal"/>
    <w:uiPriority w:val="34"/>
    <w:qFormat/>
    <w:rsid w:val="00432071"/>
    <w:pPr>
      <w:ind w:left="720"/>
      <w:contextualSpacing/>
    </w:pPr>
  </w:style>
  <w:style w:type="character" w:styleId="IntenseEmphasis">
    <w:name w:val="Intense Emphasis"/>
    <w:basedOn w:val="DefaultParagraphFont"/>
    <w:uiPriority w:val="21"/>
    <w:qFormat/>
    <w:rsid w:val="00432071"/>
    <w:rPr>
      <w:i/>
      <w:iCs/>
      <w:color w:val="0F4761" w:themeColor="accent1" w:themeShade="BF"/>
    </w:rPr>
  </w:style>
  <w:style w:type="paragraph" w:styleId="IntenseQuote">
    <w:name w:val="Intense Quote"/>
    <w:basedOn w:val="Normal"/>
    <w:next w:val="Normal"/>
    <w:link w:val="IntenseQuoteChar"/>
    <w:uiPriority w:val="30"/>
    <w:qFormat/>
    <w:rsid w:val="00432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071"/>
    <w:rPr>
      <w:i/>
      <w:iCs/>
      <w:color w:val="0F4761" w:themeColor="accent1" w:themeShade="BF"/>
    </w:rPr>
  </w:style>
  <w:style w:type="character" w:styleId="IntenseReference">
    <w:name w:val="Intense Reference"/>
    <w:basedOn w:val="DefaultParagraphFont"/>
    <w:uiPriority w:val="32"/>
    <w:qFormat/>
    <w:rsid w:val="00432071"/>
    <w:rPr>
      <w:b/>
      <w:bCs/>
      <w:smallCaps/>
      <w:color w:val="0F4761" w:themeColor="accent1" w:themeShade="BF"/>
      <w:spacing w:val="5"/>
    </w:rPr>
  </w:style>
  <w:style w:type="character" w:styleId="Hyperlink">
    <w:name w:val="Hyperlink"/>
    <w:basedOn w:val="DefaultParagraphFont"/>
    <w:uiPriority w:val="99"/>
    <w:unhideWhenUsed/>
    <w:rsid w:val="00432071"/>
    <w:rPr>
      <w:color w:val="467886" w:themeColor="hyperlink"/>
      <w:u w:val="single"/>
    </w:rPr>
  </w:style>
  <w:style w:type="character" w:styleId="UnresolvedMention">
    <w:name w:val="Unresolved Mention"/>
    <w:basedOn w:val="DefaultParagraphFont"/>
    <w:uiPriority w:val="99"/>
    <w:semiHidden/>
    <w:unhideWhenUsed/>
    <w:rsid w:val="00432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716716">
      <w:bodyDiv w:val="1"/>
      <w:marLeft w:val="0"/>
      <w:marRight w:val="0"/>
      <w:marTop w:val="0"/>
      <w:marBottom w:val="0"/>
      <w:divBdr>
        <w:top w:val="none" w:sz="0" w:space="0" w:color="auto"/>
        <w:left w:val="none" w:sz="0" w:space="0" w:color="auto"/>
        <w:bottom w:val="none" w:sz="0" w:space="0" w:color="auto"/>
        <w:right w:val="none" w:sz="0" w:space="0" w:color="auto"/>
      </w:divBdr>
    </w:div>
    <w:div w:id="1008484284">
      <w:bodyDiv w:val="1"/>
      <w:marLeft w:val="0"/>
      <w:marRight w:val="0"/>
      <w:marTop w:val="0"/>
      <w:marBottom w:val="0"/>
      <w:divBdr>
        <w:top w:val="none" w:sz="0" w:space="0" w:color="auto"/>
        <w:left w:val="none" w:sz="0" w:space="0" w:color="auto"/>
        <w:bottom w:val="none" w:sz="0" w:space="0" w:color="auto"/>
        <w:right w:val="none" w:sz="0" w:space="0" w:color="auto"/>
      </w:divBdr>
    </w:div>
    <w:div w:id="1037201641">
      <w:bodyDiv w:val="1"/>
      <w:marLeft w:val="0"/>
      <w:marRight w:val="0"/>
      <w:marTop w:val="0"/>
      <w:marBottom w:val="0"/>
      <w:divBdr>
        <w:top w:val="none" w:sz="0" w:space="0" w:color="auto"/>
        <w:left w:val="none" w:sz="0" w:space="0" w:color="auto"/>
        <w:bottom w:val="none" w:sz="0" w:space="0" w:color="auto"/>
        <w:right w:val="none" w:sz="0" w:space="0" w:color="auto"/>
      </w:divBdr>
    </w:div>
    <w:div w:id="1871451534">
      <w:bodyDiv w:val="1"/>
      <w:marLeft w:val="0"/>
      <w:marRight w:val="0"/>
      <w:marTop w:val="0"/>
      <w:marBottom w:val="0"/>
      <w:divBdr>
        <w:top w:val="none" w:sz="0" w:space="0" w:color="auto"/>
        <w:left w:val="none" w:sz="0" w:space="0" w:color="auto"/>
        <w:bottom w:val="none" w:sz="0" w:space="0" w:color="auto"/>
        <w:right w:val="none" w:sz="0" w:space="0" w:color="auto"/>
      </w:divBdr>
    </w:div>
    <w:div w:id="198319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wagn@med.umich.edu" TargetMode="External"/><Relationship Id="rId3" Type="http://schemas.openxmlformats.org/officeDocument/2006/relationships/settings" Target="settings.xml"/><Relationship Id="rId7" Type="http://schemas.openxmlformats.org/officeDocument/2006/relationships/hyperlink" Target="mailto:jrivers5@mgb.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fetterly@rivhs.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athy.seluke@mainegeneral.org" TargetMode="External"/><Relationship Id="rId4" Type="http://schemas.openxmlformats.org/officeDocument/2006/relationships/webSettings" Target="webSettings.xml"/><Relationship Id="rId9" Type="http://schemas.openxmlformats.org/officeDocument/2006/relationships/hyperlink" Target="mailto:stephanie.slankard@bay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Smith</dc:creator>
  <cp:keywords/>
  <dc:description/>
  <cp:lastModifiedBy>Debora Smith</cp:lastModifiedBy>
  <cp:revision>10</cp:revision>
  <dcterms:created xsi:type="dcterms:W3CDTF">2025-03-28T16:27:00Z</dcterms:created>
  <dcterms:modified xsi:type="dcterms:W3CDTF">2025-03-28T19:08:00Z</dcterms:modified>
</cp:coreProperties>
</file>